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338" w:rsidRDefault="003C2375">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7bis</w:t>
      </w:r>
      <w:r w:rsidR="00630460">
        <w:rPr>
          <w:rFonts w:ascii="Arial" w:eastAsia="MS Mincho" w:hAnsi="Arial"/>
          <w:b/>
          <w:sz w:val="24"/>
          <w:lang w:val="en-GB"/>
        </w:rPr>
        <w:tab/>
      </w:r>
      <w:r>
        <w:rPr>
          <w:rFonts w:ascii="Arial" w:eastAsia="MS Mincho" w:hAnsi="Arial" w:hint="eastAsia"/>
          <w:b/>
          <w:sz w:val="24"/>
          <w:lang w:val="en-GB"/>
        </w:rPr>
        <w:t>R2-19</w:t>
      </w:r>
      <w:r w:rsidR="009F308D">
        <w:rPr>
          <w:rFonts w:ascii="Arial" w:eastAsia="MS Mincho" w:hAnsi="Arial"/>
          <w:b/>
          <w:sz w:val="24"/>
        </w:rPr>
        <w:t>13489</w:t>
      </w:r>
    </w:p>
    <w:p w:rsidR="00F27338" w:rsidRDefault="003C2375">
      <w:pPr>
        <w:pStyle w:val="CRCoverPage"/>
        <w:outlineLvl w:val="0"/>
        <w:rPr>
          <w:b/>
          <w:sz w:val="24"/>
          <w:lang w:val="en-US"/>
        </w:rPr>
      </w:pPr>
      <w:r>
        <w:rPr>
          <w:b/>
          <w:sz w:val="24"/>
          <w:szCs w:val="24"/>
        </w:rPr>
        <w:t>Chongqing, China, 14</w:t>
      </w:r>
      <w:r>
        <w:rPr>
          <w:b/>
          <w:sz w:val="24"/>
          <w:szCs w:val="24"/>
          <w:vertAlign w:val="superscript"/>
        </w:rPr>
        <w:t xml:space="preserve">th </w:t>
      </w:r>
      <w:r>
        <w:rPr>
          <w:b/>
          <w:sz w:val="24"/>
          <w:szCs w:val="24"/>
        </w:rPr>
        <w:t>– 18</w:t>
      </w:r>
      <w:r>
        <w:rPr>
          <w:b/>
          <w:sz w:val="24"/>
          <w:szCs w:val="24"/>
          <w:vertAlign w:val="superscript"/>
        </w:rPr>
        <w:t>th</w:t>
      </w:r>
      <w:r>
        <w:rPr>
          <w:b/>
          <w:sz w:val="24"/>
          <w:szCs w:val="24"/>
        </w:rPr>
        <w:t xml:space="preserve"> Sept. 2019</w:t>
      </w:r>
      <w:r w:rsidR="00360232">
        <w:rPr>
          <w:b/>
          <w:sz w:val="24"/>
          <w:szCs w:val="24"/>
        </w:rPr>
        <w:tab/>
      </w:r>
      <w:r w:rsidR="00360232">
        <w:rPr>
          <w:b/>
          <w:sz w:val="24"/>
          <w:szCs w:val="24"/>
        </w:rPr>
        <w:tab/>
      </w:r>
      <w:r w:rsidR="00360232">
        <w:rPr>
          <w:b/>
          <w:sz w:val="24"/>
          <w:szCs w:val="24"/>
        </w:rPr>
        <w:tab/>
      </w:r>
      <w:r w:rsidR="00360232">
        <w:rPr>
          <w:b/>
          <w:sz w:val="24"/>
          <w:szCs w:val="24"/>
        </w:rPr>
        <w:tab/>
      </w:r>
      <w:r w:rsidR="00360232">
        <w:rPr>
          <w:b/>
          <w:sz w:val="24"/>
          <w:szCs w:val="24"/>
        </w:rPr>
        <w:tab/>
      </w:r>
      <w:r w:rsidR="00360232">
        <w:rPr>
          <w:b/>
          <w:sz w:val="24"/>
          <w:szCs w:val="24"/>
        </w:rPr>
        <w:tab/>
      </w:r>
      <w:r w:rsidR="00360232">
        <w:rPr>
          <w:b/>
          <w:sz w:val="24"/>
          <w:szCs w:val="24"/>
        </w:rPr>
        <w:tab/>
        <w:t xml:space="preserve"> </w:t>
      </w:r>
      <w:bookmarkStart w:id="0" w:name="_GoBack"/>
      <w:bookmarkEnd w:id="0"/>
      <w:r w:rsidRPr="009F308D">
        <w:rPr>
          <w:b/>
          <w:color w:val="808080" w:themeColor="background1" w:themeShade="80"/>
          <w:sz w:val="24"/>
          <w:szCs w:val="24"/>
          <w:lang w:val="en-US"/>
        </w:rPr>
        <w:t xml:space="preserve">Revision of </w:t>
      </w:r>
      <w:r w:rsidRPr="009F308D">
        <w:rPr>
          <w:rFonts w:cs="Arial" w:hint="eastAsia"/>
          <w:b/>
          <w:bCs/>
          <w:snapToGrid w:val="0"/>
          <w:color w:val="808080" w:themeColor="background1" w:themeShade="80"/>
          <w:sz w:val="24"/>
        </w:rPr>
        <w:t>R2-191074</w:t>
      </w:r>
      <w:r w:rsidRPr="009F308D">
        <w:rPr>
          <w:rFonts w:cs="Arial"/>
          <w:b/>
          <w:bCs/>
          <w:snapToGrid w:val="0"/>
          <w:color w:val="808080" w:themeColor="background1" w:themeShade="80"/>
          <w:sz w:val="24"/>
          <w:lang w:val="en-US"/>
        </w:rPr>
        <w:t>8</w:t>
      </w:r>
    </w:p>
    <w:p w:rsidR="00F27338" w:rsidRDefault="00F27338">
      <w:pPr>
        <w:overflowPunct w:val="0"/>
        <w:autoSpaceDE w:val="0"/>
        <w:autoSpaceDN w:val="0"/>
        <w:adjustRightInd w:val="0"/>
        <w:snapToGrid w:val="0"/>
        <w:jc w:val="left"/>
        <w:textAlignment w:val="baseline"/>
        <w:rPr>
          <w:rFonts w:ascii="Arial" w:hAnsi="Arial" w:cs="Arial"/>
          <w:b/>
          <w:bCs/>
          <w:kern w:val="0"/>
          <w:sz w:val="24"/>
        </w:rPr>
      </w:pPr>
    </w:p>
    <w:p w:rsidR="00F27338" w:rsidRDefault="003C237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F27338" w:rsidRDefault="003C2375">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O</w:t>
      </w:r>
      <w:r>
        <w:rPr>
          <w:rFonts w:ascii="Arial" w:hAnsi="Arial" w:cs="Arial" w:hint="eastAsia"/>
          <w:b/>
          <w:bCs/>
          <w:snapToGrid w:val="0"/>
          <w:kern w:val="0"/>
          <w:sz w:val="24"/>
        </w:rPr>
        <w:t xml:space="preserve">n </w:t>
      </w:r>
      <w:r>
        <w:rPr>
          <w:rFonts w:ascii="Arial" w:hAnsi="Arial" w:cs="Arial"/>
          <w:b/>
          <w:bCs/>
          <w:snapToGrid w:val="0"/>
          <w:kern w:val="0"/>
          <w:sz w:val="24"/>
        </w:rPr>
        <w:t>D</w:t>
      </w:r>
      <w:r>
        <w:rPr>
          <w:rFonts w:ascii="Arial" w:hAnsi="Arial" w:cs="Arial" w:hint="eastAsia"/>
          <w:b/>
          <w:bCs/>
          <w:snapToGrid w:val="0"/>
          <w:kern w:val="0"/>
          <w:sz w:val="24"/>
        </w:rPr>
        <w:t xml:space="preserve">irectly </w:t>
      </w:r>
      <w:r>
        <w:rPr>
          <w:rFonts w:ascii="Arial" w:hAnsi="Arial" w:cs="Arial"/>
          <w:b/>
          <w:bCs/>
          <w:snapToGrid w:val="0"/>
          <w:kern w:val="0"/>
          <w:sz w:val="24"/>
        </w:rPr>
        <w:t>C</w:t>
      </w:r>
      <w:r>
        <w:rPr>
          <w:rFonts w:ascii="Arial" w:hAnsi="Arial" w:cs="Arial" w:hint="eastAsia"/>
          <w:b/>
          <w:bCs/>
          <w:snapToGrid w:val="0"/>
          <w:kern w:val="0"/>
          <w:sz w:val="24"/>
        </w:rPr>
        <w:t xml:space="preserve">onfiguring SCell as </w:t>
      </w:r>
      <w:r>
        <w:rPr>
          <w:rFonts w:ascii="Arial" w:hAnsi="Arial" w:cs="Arial"/>
          <w:b/>
          <w:bCs/>
          <w:snapToGrid w:val="0"/>
          <w:kern w:val="0"/>
          <w:sz w:val="24"/>
        </w:rPr>
        <w:t>A</w:t>
      </w:r>
      <w:r>
        <w:rPr>
          <w:rFonts w:ascii="Arial" w:hAnsi="Arial" w:cs="Arial" w:hint="eastAsia"/>
          <w:b/>
          <w:bCs/>
          <w:snapToGrid w:val="0"/>
          <w:kern w:val="0"/>
          <w:sz w:val="24"/>
        </w:rPr>
        <w:t>ctivated</w:t>
      </w:r>
    </w:p>
    <w:p w:rsidR="00F27338" w:rsidRDefault="003C237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6</w:t>
      </w:r>
      <w:r>
        <w:rPr>
          <w:rFonts w:ascii="Arial" w:hAnsi="Arial" w:cs="Arial" w:hint="eastAsia"/>
          <w:b/>
          <w:bCs/>
          <w:snapToGrid w:val="0"/>
          <w:kern w:val="0"/>
          <w:sz w:val="24"/>
        </w:rPr>
        <w:t>.10.4</w:t>
      </w:r>
      <w:r>
        <w:rPr>
          <w:rFonts w:ascii="Arial" w:hAnsi="Arial" w:cs="Arial"/>
          <w:b/>
          <w:bCs/>
          <w:snapToGrid w:val="0"/>
          <w:kern w:val="0"/>
          <w:sz w:val="24"/>
        </w:rPr>
        <w:t>.1</w:t>
      </w:r>
    </w:p>
    <w:p w:rsidR="00F27338" w:rsidRDefault="003C2375">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27338" w:rsidRDefault="003C237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7338" w:rsidRDefault="003C2375">
      <w:pPr>
        <w:spacing w:after="0"/>
        <w:rPr>
          <w:sz w:val="20"/>
          <w:szCs w:val="20"/>
        </w:rPr>
      </w:pPr>
      <w:r>
        <w:rPr>
          <w:bCs/>
          <w:sz w:val="20"/>
          <w:szCs w:val="20"/>
        </w:rPr>
        <w:t>In RAN2#105b[1], it was agreed that SCells of both MCG and SCG can be configured in deactivated or activated state by RRC message</w:t>
      </w:r>
      <w:r>
        <w:rPr>
          <w:sz w:val="20"/>
          <w:szCs w:val="20"/>
        </w:rPr>
        <w:t xml:space="preserve"> upon addition or after a handover</w:t>
      </w:r>
      <w:r>
        <w:rPr>
          <w:bCs/>
          <w:sz w:val="20"/>
          <w:szCs w:val="20"/>
        </w:rPr>
        <w:t xml:space="preserve">. FFS if this applies to resume procedure. This contribution provides considerations on </w:t>
      </w:r>
      <w:r>
        <w:rPr>
          <w:rFonts w:hint="eastAsia"/>
          <w:bCs/>
          <w:sz w:val="20"/>
          <w:szCs w:val="20"/>
        </w:rPr>
        <w:t>FFS issue</w:t>
      </w:r>
      <w:r>
        <w:rPr>
          <w:bCs/>
          <w:sz w:val="20"/>
          <w:szCs w:val="20"/>
        </w:rPr>
        <w:t xml:space="preserve"> and further configuration details of direct activation.</w:t>
      </w:r>
    </w:p>
    <w:p w:rsidR="00F27338" w:rsidRDefault="003C237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27338" w:rsidRDefault="003C2375">
      <w:pPr>
        <w:rPr>
          <w:sz w:val="20"/>
          <w:szCs w:val="20"/>
        </w:rPr>
      </w:pPr>
      <w:r>
        <w:rPr>
          <w:sz w:val="20"/>
          <w:szCs w:val="20"/>
        </w:rPr>
        <w:t xml:space="preserve">In current NR specification, </w:t>
      </w:r>
      <w:r>
        <w:rPr>
          <w:rFonts w:hint="eastAsia"/>
          <w:sz w:val="20"/>
          <w:szCs w:val="20"/>
        </w:rPr>
        <w:t>upon initiating RRC resume, the UE resume</w:t>
      </w:r>
      <w:r>
        <w:rPr>
          <w:sz w:val="20"/>
          <w:szCs w:val="20"/>
        </w:rPr>
        <w:t>s</w:t>
      </w:r>
      <w:r>
        <w:rPr>
          <w:rFonts w:hint="eastAsia"/>
          <w:sz w:val="20"/>
          <w:szCs w:val="20"/>
        </w:rPr>
        <w:t xml:space="preserve"> </w:t>
      </w:r>
      <w:r>
        <w:rPr>
          <w:sz w:val="20"/>
          <w:szCs w:val="20"/>
        </w:rPr>
        <w:t xml:space="preserve">the </w:t>
      </w:r>
      <w:r>
        <w:rPr>
          <w:rFonts w:hint="eastAsia"/>
          <w:sz w:val="20"/>
          <w:szCs w:val="20"/>
        </w:rPr>
        <w:t xml:space="preserve">stored MCG configuration from local context, and gNB can reconfigure MCG in RRC resume message. </w:t>
      </w:r>
      <w:r>
        <w:rPr>
          <w:sz w:val="20"/>
          <w:szCs w:val="20"/>
        </w:rPr>
        <w:t>In last RAN2 meeting[2], it was agreed that SCG can be reconfigured, or stored SCG configuration can be resumed in resume procedure.</w:t>
      </w:r>
    </w:p>
    <w:p w:rsidR="00F27338" w:rsidRDefault="003C2375">
      <w:pPr>
        <w:pStyle w:val="Doc-text2"/>
        <w:pBdr>
          <w:top w:val="single" w:sz="4" w:space="1" w:color="auto"/>
          <w:left w:val="single" w:sz="4" w:space="4" w:color="auto"/>
          <w:bottom w:val="single" w:sz="4" w:space="1" w:color="auto"/>
          <w:right w:val="single" w:sz="4" w:space="4" w:color="auto"/>
        </w:pBdr>
      </w:pPr>
      <w:r>
        <w:rPr>
          <w:rFonts w:cs="Arial"/>
          <w:szCs w:val="20"/>
          <w:lang w:val="en-US"/>
        </w:rPr>
        <w:t xml:space="preserve"> </w:t>
      </w:r>
      <w:r>
        <w:t>Agreements (Activation of SCells is not addressed by these agreements - to be discussed separately)</w:t>
      </w:r>
    </w:p>
    <w:p w:rsidR="00F27338" w:rsidRDefault="003C2375">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rsidR="00F27338" w:rsidRDefault="003C2375">
      <w:pPr>
        <w:pStyle w:val="Doc-text2"/>
        <w:pBdr>
          <w:top w:val="single" w:sz="4" w:space="1" w:color="auto"/>
          <w:left w:val="single" w:sz="4" w:space="4" w:color="auto"/>
          <w:bottom w:val="single" w:sz="4" w:space="1" w:color="auto"/>
          <w:right w:val="single" w:sz="4" w:space="4" w:color="auto"/>
        </w:pBdr>
      </w:pPr>
      <w:r>
        <w:t>2</w:t>
      </w:r>
      <w:r>
        <w:tab/>
        <w:t>In NR and LTE Rel-16, the UE maintains the MCG SCell configuration upon the initiation of the resume procedure.</w:t>
      </w:r>
    </w:p>
    <w:p w:rsidR="00F27338" w:rsidRDefault="003C2375">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rsidR="00F27338" w:rsidRDefault="003C2375">
      <w:pPr>
        <w:pStyle w:val="Doc-text2"/>
        <w:pBdr>
          <w:top w:val="single" w:sz="4" w:space="1" w:color="auto"/>
          <w:left w:val="single" w:sz="4" w:space="4" w:color="auto"/>
          <w:bottom w:val="single" w:sz="4" w:space="1" w:color="auto"/>
          <w:right w:val="single" w:sz="4" w:space="4" w:color="auto"/>
        </w:pBdr>
      </w:pPr>
      <w:r>
        <w:t>4</w:t>
      </w:r>
      <w:r>
        <w:tab/>
        <w:t>The (LTE and NR) RRC(Connection)Resume (Inactive to Connected))message can contain the SCG configuration and the associated UE behaviour in handling the SCG configuration is the same as in the Rel-15 RRC (connection) reconfiguration procedure.</w:t>
      </w:r>
    </w:p>
    <w:p w:rsidR="00F27338" w:rsidRDefault="003C2375">
      <w:pPr>
        <w:pStyle w:val="Doc-text2"/>
        <w:pBdr>
          <w:top w:val="single" w:sz="4" w:space="1" w:color="auto"/>
          <w:left w:val="single" w:sz="4" w:space="4" w:color="auto"/>
          <w:bottom w:val="single" w:sz="4" w:space="1" w:color="auto"/>
          <w:right w:val="single" w:sz="4" w:space="4" w:color="auto"/>
        </w:pBdr>
      </w:pPr>
      <w:r>
        <w:lastRenderedPageBreak/>
        <w:t>5</w:t>
      </w:r>
      <w:r>
        <w:tab/>
        <w:t>In NR and LTE Rel-16, the UE maintains the SCG configuration upon the initiation of the resume procedure.</w:t>
      </w:r>
    </w:p>
    <w:p w:rsidR="00F27338" w:rsidRDefault="003C2375">
      <w:pPr>
        <w:pStyle w:val="Doc-text2"/>
        <w:pBdr>
          <w:top w:val="single" w:sz="4" w:space="1" w:color="auto"/>
          <w:left w:val="single" w:sz="4" w:space="4" w:color="auto"/>
          <w:bottom w:val="single" w:sz="4" w:space="1" w:color="auto"/>
          <w:right w:val="single" w:sz="4" w:space="4" w:color="auto"/>
        </w:pBdr>
      </w:pPr>
      <w:r>
        <w:t>6</w:t>
      </w:r>
      <w:r>
        <w:tab/>
        <w:t>The RRC(Connection)Resume message contains an indication to restore/resume the SCG (noting that behaviour in legacy e/gNBs that don't support this feature needs to be considered).</w:t>
      </w:r>
    </w:p>
    <w:p w:rsidR="00F27338" w:rsidRDefault="003C2375">
      <w:pPr>
        <w:rPr>
          <w:sz w:val="20"/>
          <w:szCs w:val="20"/>
        </w:rPr>
      </w:pPr>
      <w:r>
        <w:rPr>
          <w:sz w:val="20"/>
          <w:szCs w:val="20"/>
        </w:rPr>
        <w:t>Per our understanding, blind reconfiguration SCG or blind resume stored SCG conf</w:t>
      </w:r>
      <w:r w:rsidR="00630460">
        <w:rPr>
          <w:sz w:val="20"/>
          <w:szCs w:val="20"/>
        </w:rPr>
        <w:t>iguration is applied to stationa</w:t>
      </w:r>
      <w:r>
        <w:rPr>
          <w:sz w:val="20"/>
          <w:szCs w:val="20"/>
        </w:rPr>
        <w:t>ry UE and MCG and SCG co-d</w:t>
      </w:r>
      <w:r w:rsidR="00630460">
        <w:rPr>
          <w:sz w:val="20"/>
          <w:szCs w:val="20"/>
        </w:rPr>
        <w:t>eployment use case. In such case</w:t>
      </w:r>
      <w:r>
        <w:rPr>
          <w:sz w:val="20"/>
          <w:szCs w:val="20"/>
        </w:rPr>
        <w:t>, it up to network to decide whether SCG can be resumed/reconfigured without measurement results. Note that when a SCG is resumed/reconfigured blindly, the PSCell is activated blindly.</w:t>
      </w:r>
    </w:p>
    <w:p w:rsidR="00F27338" w:rsidRDefault="00630460">
      <w:pPr>
        <w:numPr>
          <w:ilvl w:val="0"/>
          <w:numId w:val="4"/>
        </w:numPr>
        <w:rPr>
          <w:b/>
          <w:bCs/>
          <w:sz w:val="20"/>
          <w:szCs w:val="20"/>
        </w:rPr>
      </w:pPr>
      <w:r>
        <w:rPr>
          <w:b/>
          <w:bCs/>
          <w:sz w:val="20"/>
          <w:szCs w:val="20"/>
        </w:rPr>
        <w:t xml:space="preserve"> With blind reconfiguring/resuming</w:t>
      </w:r>
      <w:r w:rsidR="003C2375">
        <w:rPr>
          <w:b/>
          <w:bCs/>
          <w:sz w:val="20"/>
          <w:szCs w:val="20"/>
        </w:rPr>
        <w:t xml:space="preserve"> SCG, PSCell is activated before measurement results report. </w:t>
      </w:r>
    </w:p>
    <w:p w:rsidR="00F27338" w:rsidRDefault="003C2375">
      <w:pPr>
        <w:rPr>
          <w:sz w:val="20"/>
          <w:szCs w:val="20"/>
        </w:rPr>
      </w:pPr>
      <w:r>
        <w:rPr>
          <w:sz w:val="20"/>
          <w:szCs w:val="20"/>
        </w:rPr>
        <w:t>The same reason i</w:t>
      </w:r>
      <w:r w:rsidR="00630460">
        <w:rPr>
          <w:sz w:val="20"/>
          <w:szCs w:val="20"/>
        </w:rPr>
        <w:t>s also valid for direct activatation</w:t>
      </w:r>
      <w:r>
        <w:rPr>
          <w:sz w:val="20"/>
          <w:szCs w:val="20"/>
        </w:rPr>
        <w:t xml:space="preserve"> SCell in resume procedure.</w:t>
      </w:r>
    </w:p>
    <w:p w:rsidR="00F27338" w:rsidRDefault="003C2375">
      <w:pPr>
        <w:numPr>
          <w:ilvl w:val="0"/>
          <w:numId w:val="5"/>
        </w:numPr>
        <w:ind w:left="1245" w:hanging="1245"/>
        <w:rPr>
          <w:b/>
          <w:bCs/>
          <w:sz w:val="20"/>
          <w:szCs w:val="20"/>
        </w:rPr>
      </w:pPr>
      <w:r>
        <w:rPr>
          <w:b/>
          <w:bCs/>
          <w:sz w:val="20"/>
          <w:szCs w:val="20"/>
        </w:rPr>
        <w:t>SCell of both MCG and SCG can be directly activated in resume procedure</w:t>
      </w:r>
      <w:r>
        <w:rPr>
          <w:rFonts w:hint="eastAsia"/>
          <w:b/>
          <w:bCs/>
          <w:sz w:val="20"/>
          <w:szCs w:val="20"/>
        </w:rPr>
        <w:t>.</w:t>
      </w:r>
    </w:p>
    <w:p w:rsidR="00F27338" w:rsidRDefault="003C2375">
      <w:pPr>
        <w:rPr>
          <w:sz w:val="20"/>
          <w:szCs w:val="20"/>
        </w:rPr>
      </w:pPr>
      <w:r>
        <w:rPr>
          <w:rFonts w:hint="eastAsia"/>
          <w:sz w:val="20"/>
          <w:szCs w:val="20"/>
        </w:rPr>
        <w:t>Another issue relat</w:t>
      </w:r>
      <w:r>
        <w:rPr>
          <w:sz w:val="20"/>
          <w:szCs w:val="20"/>
        </w:rPr>
        <w:t>ed</w:t>
      </w:r>
      <w:r>
        <w:rPr>
          <w:rFonts w:hint="eastAsia"/>
          <w:sz w:val="20"/>
          <w:szCs w:val="20"/>
        </w:rPr>
        <w:t xml:space="preserve"> to SCell activation by RRC message is how to indicate TCI state for PDCCH reception for to be activated SCell. </w:t>
      </w:r>
    </w:p>
    <w:p w:rsidR="00F27338" w:rsidRDefault="003C2375">
      <w:pPr>
        <w:rPr>
          <w:sz w:val="20"/>
          <w:szCs w:val="20"/>
        </w:rPr>
      </w:pPr>
      <w:r>
        <w:rPr>
          <w:sz w:val="20"/>
          <w:szCs w:val="20"/>
        </w:rPr>
        <w:t xml:space="preserve">TCI state information is used to indicate the beam for UE monitoring PDCCH or PDSCH by associating one or two downlink reference signals (SSB or CSI-RS in NR) with a corresponding </w:t>
      </w:r>
      <w:r>
        <w:rPr>
          <w:rFonts w:hint="eastAsia"/>
          <w:sz w:val="20"/>
          <w:szCs w:val="20"/>
        </w:rPr>
        <w:t>quasi-collocation</w:t>
      </w:r>
      <w:r>
        <w:rPr>
          <w:sz w:val="20"/>
          <w:szCs w:val="20"/>
        </w:rPr>
        <w:t xml:space="preserve"> (QCL) type. </w:t>
      </w:r>
      <w:r>
        <w:rPr>
          <w:rFonts w:hint="eastAsia"/>
          <w:sz w:val="20"/>
          <w:szCs w:val="20"/>
        </w:rPr>
        <w:t xml:space="preserve">In current NR specification, the </w:t>
      </w:r>
      <w:r>
        <w:rPr>
          <w:sz w:val="20"/>
          <w:szCs w:val="20"/>
        </w:rPr>
        <w:t>network</w:t>
      </w:r>
      <w:r>
        <w:rPr>
          <w:rFonts w:hint="eastAsia"/>
          <w:sz w:val="20"/>
          <w:szCs w:val="20"/>
        </w:rPr>
        <w:t xml:space="preserve"> configures UE specific TCI state for PDCCH reception by two step wise approach: firstly configure a list of candidate TCI state by RRC message, and activate TCI state for PDCCH by transmitting </w:t>
      </w:r>
      <w:r>
        <w:rPr>
          <w:sz w:val="20"/>
          <w:szCs w:val="20"/>
        </w:rPr>
        <w:t>“</w:t>
      </w:r>
      <w:r>
        <w:rPr>
          <w:sz w:val="20"/>
          <w:szCs w:val="20"/>
          <w:lang w:eastAsia="ko-KR"/>
        </w:rPr>
        <w:t>TCI State Indication for UE-specific PDCCH MAC CE</w:t>
      </w:r>
      <w:r>
        <w:rPr>
          <w:sz w:val="20"/>
          <w:szCs w:val="20"/>
        </w:rPr>
        <w:t>”</w:t>
      </w:r>
      <w:r>
        <w:rPr>
          <w:rFonts w:hint="eastAsia"/>
          <w:sz w:val="20"/>
          <w:szCs w:val="20"/>
        </w:rPr>
        <w:t>.</w:t>
      </w:r>
    </w:p>
    <w:p w:rsidR="00F27338" w:rsidRDefault="003C2375">
      <w:pPr>
        <w:rPr>
          <w:sz w:val="20"/>
          <w:szCs w:val="20"/>
        </w:rPr>
      </w:pPr>
      <w:r>
        <w:rPr>
          <w:rFonts w:hint="eastAsia"/>
          <w:sz w:val="20"/>
          <w:szCs w:val="20"/>
        </w:rPr>
        <w:t xml:space="preserve">When configuring the SCell in activated </w:t>
      </w:r>
      <w:r>
        <w:rPr>
          <w:sz w:val="20"/>
          <w:szCs w:val="20"/>
        </w:rPr>
        <w:t xml:space="preserve">state </w:t>
      </w:r>
      <w:r>
        <w:rPr>
          <w:rFonts w:hint="eastAsia"/>
          <w:sz w:val="20"/>
          <w:szCs w:val="20"/>
        </w:rPr>
        <w:t xml:space="preserve">in SCell addition, it is preferred to configure an active TCI state for PDCCH reception via RRC, i.e. one step activation. Because the RRC handling delay on UE side is uncertain, it is difficult for the </w:t>
      </w:r>
      <w:r>
        <w:rPr>
          <w:sz w:val="20"/>
          <w:szCs w:val="20"/>
        </w:rPr>
        <w:t>network</w:t>
      </w:r>
      <w:r>
        <w:rPr>
          <w:rFonts w:hint="eastAsia"/>
          <w:sz w:val="20"/>
          <w:szCs w:val="20"/>
        </w:rPr>
        <w:t xml:space="preserve"> to determine the timing to transmit the MAC CE. If the MAC CE is transmitted too early, i.e. before RRC processing is finished, UE cannot handle the MAC CE. If the MAC CE is transmitted too late, additional delay will be caused.</w:t>
      </w:r>
    </w:p>
    <w:p w:rsidR="00F27338" w:rsidRDefault="003C2375">
      <w:pPr>
        <w:rPr>
          <w:sz w:val="20"/>
          <w:szCs w:val="20"/>
        </w:rPr>
      </w:pPr>
      <w:r>
        <w:rPr>
          <w:rFonts w:hint="eastAsia"/>
          <w:sz w:val="20"/>
          <w:szCs w:val="20"/>
        </w:rPr>
        <w:t xml:space="preserve">If the RRC message which configures the SCell in activated also indicates an active UE specific TCI state for PDCCH reception, the UE can use it for activating PDCCH monitoring which is part of SCell activation. </w:t>
      </w:r>
    </w:p>
    <w:p w:rsidR="00F27338" w:rsidRDefault="003C2375">
      <w:pPr>
        <w:rPr>
          <w:sz w:val="20"/>
          <w:szCs w:val="20"/>
        </w:rPr>
      </w:pPr>
      <w:r>
        <w:rPr>
          <w:rFonts w:hint="eastAsia"/>
          <w:sz w:val="20"/>
          <w:szCs w:val="20"/>
        </w:rPr>
        <w:t>This analysis also applies to configuring SCell in activated in RRC resume and handover case.</w:t>
      </w:r>
    </w:p>
    <w:p w:rsidR="00F27338" w:rsidRPr="00630460" w:rsidRDefault="00821065" w:rsidP="00630460">
      <w:pPr>
        <w:numPr>
          <w:ilvl w:val="0"/>
          <w:numId w:val="5"/>
        </w:numPr>
        <w:ind w:left="1245" w:hanging="1245"/>
        <w:rPr>
          <w:b/>
          <w:bCs/>
          <w:sz w:val="20"/>
          <w:szCs w:val="20"/>
        </w:rPr>
      </w:pPr>
      <w:r w:rsidRPr="00630460">
        <w:rPr>
          <w:b/>
          <w:bCs/>
          <w:sz w:val="20"/>
          <w:szCs w:val="20"/>
        </w:rPr>
        <w:t>In case the initial state of SCell is configured as active, the NW shall be allowed to configure the active TCI state for PDCCH reception for the serving cell</w:t>
      </w:r>
      <w:r w:rsidR="003C2375" w:rsidRPr="00630460">
        <w:rPr>
          <w:rFonts w:hint="eastAsia"/>
          <w:b/>
          <w:bCs/>
          <w:sz w:val="20"/>
          <w:szCs w:val="20"/>
        </w:rPr>
        <w:t>.</w:t>
      </w:r>
    </w:p>
    <w:p w:rsidR="00F27338" w:rsidRDefault="003C2375">
      <w:pPr>
        <w:rPr>
          <w:sz w:val="20"/>
          <w:szCs w:val="20"/>
        </w:rPr>
      </w:pPr>
      <w:r>
        <w:rPr>
          <w:rFonts w:hint="eastAsia"/>
          <w:sz w:val="20"/>
          <w:szCs w:val="20"/>
        </w:rPr>
        <w:t xml:space="preserve">For UE specific PDCSH TCI state, the </w:t>
      </w:r>
      <w:r>
        <w:rPr>
          <w:sz w:val="20"/>
          <w:szCs w:val="20"/>
        </w:rPr>
        <w:t>network</w:t>
      </w:r>
      <w:r>
        <w:rPr>
          <w:rFonts w:hint="eastAsia"/>
          <w:sz w:val="20"/>
          <w:szCs w:val="20"/>
        </w:rPr>
        <w:t xml:space="preserve"> can activate it for the SCell as soon as SCell activation is finished. It seems unnecessary to activate this by RRC message.</w:t>
      </w:r>
    </w:p>
    <w:p w:rsidR="00F27338" w:rsidRDefault="003C237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F27338" w:rsidRDefault="004569ED">
      <w:pPr>
        <w:numPr>
          <w:ilvl w:val="0"/>
          <w:numId w:val="6"/>
        </w:numPr>
        <w:rPr>
          <w:b/>
          <w:bCs/>
          <w:sz w:val="20"/>
          <w:szCs w:val="20"/>
        </w:rPr>
      </w:pPr>
      <w:r>
        <w:rPr>
          <w:b/>
          <w:bCs/>
          <w:sz w:val="20"/>
          <w:szCs w:val="20"/>
        </w:rPr>
        <w:t xml:space="preserve"> With blind reconfiguring/resuming</w:t>
      </w:r>
      <w:r w:rsidR="003C2375">
        <w:rPr>
          <w:b/>
          <w:bCs/>
          <w:sz w:val="20"/>
          <w:szCs w:val="20"/>
        </w:rPr>
        <w:t xml:space="preserve"> SCG, PSCell is activated before measurement results report. </w:t>
      </w:r>
    </w:p>
    <w:p w:rsidR="00F27338" w:rsidRDefault="003C2375">
      <w:pPr>
        <w:numPr>
          <w:ilvl w:val="0"/>
          <w:numId w:val="7"/>
        </w:numPr>
        <w:ind w:left="1245" w:hanging="1245"/>
        <w:rPr>
          <w:b/>
          <w:bCs/>
          <w:sz w:val="20"/>
          <w:szCs w:val="20"/>
        </w:rPr>
      </w:pPr>
      <w:r>
        <w:rPr>
          <w:b/>
          <w:bCs/>
          <w:sz w:val="20"/>
          <w:szCs w:val="20"/>
        </w:rPr>
        <w:lastRenderedPageBreak/>
        <w:t>SCell of both MCG and SCG can be directly activated in resume procedure.</w:t>
      </w:r>
    </w:p>
    <w:p w:rsidR="00F27338" w:rsidRDefault="00821065" w:rsidP="00821065">
      <w:pPr>
        <w:numPr>
          <w:ilvl w:val="0"/>
          <w:numId w:val="7"/>
        </w:numPr>
        <w:ind w:left="1245" w:hanging="1245"/>
        <w:rPr>
          <w:b/>
          <w:bCs/>
          <w:sz w:val="20"/>
          <w:szCs w:val="20"/>
        </w:rPr>
      </w:pPr>
      <w:r w:rsidRPr="00821065">
        <w:rPr>
          <w:b/>
          <w:bCs/>
          <w:sz w:val="20"/>
          <w:szCs w:val="20"/>
        </w:rPr>
        <w:t>In case the initial state of SCell is configured as active, the NW shall be allowed to configure the active TCI state for PDCCH reception for the serving cell</w:t>
      </w:r>
      <w:r w:rsidR="003C2375">
        <w:rPr>
          <w:b/>
          <w:bCs/>
          <w:sz w:val="20"/>
          <w:szCs w:val="20"/>
        </w:rPr>
        <w:t xml:space="preserve">. </w:t>
      </w:r>
    </w:p>
    <w:p w:rsidR="00F27338" w:rsidRDefault="003C237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F27338" w:rsidRDefault="003C2375">
      <w:pPr>
        <w:pStyle w:val="ListParagraph1"/>
        <w:numPr>
          <w:ilvl w:val="0"/>
          <w:numId w:val="8"/>
        </w:numPr>
        <w:ind w:firstLineChars="0"/>
        <w:rPr>
          <w:sz w:val="20"/>
          <w:szCs w:val="22"/>
        </w:rPr>
      </w:pPr>
      <w:r>
        <w:rPr>
          <w:sz w:val="20"/>
          <w:szCs w:val="22"/>
        </w:rPr>
        <w:t>RAN2</w:t>
      </w:r>
      <w:r>
        <w:rPr>
          <w:rFonts w:hint="eastAsia"/>
          <w:sz w:val="20"/>
          <w:szCs w:val="22"/>
        </w:rPr>
        <w:t>#10</w:t>
      </w:r>
      <w:r w:rsidR="004569ED">
        <w:rPr>
          <w:sz w:val="20"/>
          <w:szCs w:val="22"/>
        </w:rPr>
        <w:t>5bis C</w:t>
      </w:r>
      <w:r>
        <w:rPr>
          <w:sz w:val="20"/>
          <w:szCs w:val="22"/>
        </w:rPr>
        <w:t>hairman notes</w:t>
      </w:r>
    </w:p>
    <w:p w:rsidR="00F27338" w:rsidRDefault="00630460">
      <w:pPr>
        <w:pStyle w:val="ListParagraph1"/>
        <w:numPr>
          <w:ilvl w:val="0"/>
          <w:numId w:val="8"/>
        </w:numPr>
        <w:ind w:firstLineChars="0"/>
        <w:rPr>
          <w:sz w:val="20"/>
          <w:szCs w:val="22"/>
        </w:rPr>
      </w:pPr>
      <w:r>
        <w:rPr>
          <w:sz w:val="20"/>
          <w:szCs w:val="22"/>
        </w:rPr>
        <w:t>RAN</w:t>
      </w:r>
      <w:r w:rsidR="004569ED">
        <w:rPr>
          <w:sz w:val="20"/>
          <w:szCs w:val="22"/>
        </w:rPr>
        <w:t>2#107 C</w:t>
      </w:r>
      <w:r w:rsidR="003C2375">
        <w:rPr>
          <w:sz w:val="20"/>
          <w:szCs w:val="22"/>
        </w:rPr>
        <w:t>hairman notes</w:t>
      </w:r>
    </w:p>
    <w:sectPr w:rsidR="00F27338">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A49" w:rsidRDefault="009D3A49">
      <w:pPr>
        <w:spacing w:after="0" w:line="240" w:lineRule="auto"/>
      </w:pPr>
      <w:r>
        <w:separator/>
      </w:r>
    </w:p>
  </w:endnote>
  <w:endnote w:type="continuationSeparator" w:id="0">
    <w:p w:rsidR="009D3A49" w:rsidRDefault="009D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338" w:rsidRDefault="003C23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7338" w:rsidRDefault="00F273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338" w:rsidRDefault="00F27338">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A49" w:rsidRDefault="009D3A49">
      <w:pPr>
        <w:spacing w:after="0" w:line="240" w:lineRule="auto"/>
      </w:pPr>
      <w:r>
        <w:separator/>
      </w:r>
    </w:p>
  </w:footnote>
  <w:footnote w:type="continuationSeparator" w:id="0">
    <w:p w:rsidR="009D3A49" w:rsidRDefault="009D3A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338" w:rsidRDefault="00F27338">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BD6229"/>
    <w:multiLevelType w:val="multilevel"/>
    <w:tmpl w:val="FDBD6229"/>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653E0C8"/>
    <w:multiLevelType w:val="multilevel"/>
    <w:tmpl w:val="0CFEE774"/>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841AE"/>
    <w:multiLevelType w:val="multilevel"/>
    <w:tmpl w:val="077841AE"/>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ABB0040"/>
    <w:multiLevelType w:val="multilevel"/>
    <w:tmpl w:val="4A0E608E"/>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7"/>
  </w:num>
  <w:num w:numId="3">
    <w:abstractNumId w:val="3"/>
  </w:num>
  <w:num w:numId="4">
    <w:abstractNumId w:val="0"/>
  </w:num>
  <w:num w:numId="5">
    <w:abstractNumId w:val="5"/>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2CC"/>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0232"/>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5DA3"/>
    <w:rsid w:val="003B774C"/>
    <w:rsid w:val="003B79ED"/>
    <w:rsid w:val="003C2375"/>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9ED"/>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460"/>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1065"/>
    <w:rsid w:val="00823AF8"/>
    <w:rsid w:val="008244A8"/>
    <w:rsid w:val="008267CB"/>
    <w:rsid w:val="00827512"/>
    <w:rsid w:val="00835356"/>
    <w:rsid w:val="00836D5A"/>
    <w:rsid w:val="0083795A"/>
    <w:rsid w:val="00837C9F"/>
    <w:rsid w:val="00843379"/>
    <w:rsid w:val="008435BD"/>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0810"/>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3A49"/>
    <w:rsid w:val="009D6952"/>
    <w:rsid w:val="009D7AC8"/>
    <w:rsid w:val="009D7F9A"/>
    <w:rsid w:val="009E068F"/>
    <w:rsid w:val="009E1B89"/>
    <w:rsid w:val="009E56AF"/>
    <w:rsid w:val="009E619C"/>
    <w:rsid w:val="009E7020"/>
    <w:rsid w:val="009E7045"/>
    <w:rsid w:val="009E748B"/>
    <w:rsid w:val="009F2244"/>
    <w:rsid w:val="009F2362"/>
    <w:rsid w:val="009F308D"/>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559"/>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338"/>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6B1124"/>
    <w:rsid w:val="017800C5"/>
    <w:rsid w:val="01C66314"/>
    <w:rsid w:val="01F87760"/>
    <w:rsid w:val="02107794"/>
    <w:rsid w:val="021C71D0"/>
    <w:rsid w:val="024E797F"/>
    <w:rsid w:val="02530B56"/>
    <w:rsid w:val="029744A1"/>
    <w:rsid w:val="02CA59DD"/>
    <w:rsid w:val="02DE06A4"/>
    <w:rsid w:val="02E44D3B"/>
    <w:rsid w:val="02F5589C"/>
    <w:rsid w:val="0306294B"/>
    <w:rsid w:val="030856B5"/>
    <w:rsid w:val="036C62EF"/>
    <w:rsid w:val="037A46D3"/>
    <w:rsid w:val="03927B59"/>
    <w:rsid w:val="03CD590F"/>
    <w:rsid w:val="04043AF0"/>
    <w:rsid w:val="044A4632"/>
    <w:rsid w:val="048278F7"/>
    <w:rsid w:val="04BD0D3B"/>
    <w:rsid w:val="04F352A5"/>
    <w:rsid w:val="050E6489"/>
    <w:rsid w:val="057850B4"/>
    <w:rsid w:val="058C1D64"/>
    <w:rsid w:val="059865A2"/>
    <w:rsid w:val="05A8493D"/>
    <w:rsid w:val="05CE1556"/>
    <w:rsid w:val="05F5528B"/>
    <w:rsid w:val="05FC410E"/>
    <w:rsid w:val="06110B74"/>
    <w:rsid w:val="062F5128"/>
    <w:rsid w:val="066E220C"/>
    <w:rsid w:val="06A02E4B"/>
    <w:rsid w:val="07283DE5"/>
    <w:rsid w:val="07553E7D"/>
    <w:rsid w:val="078E330A"/>
    <w:rsid w:val="084978A5"/>
    <w:rsid w:val="086438B1"/>
    <w:rsid w:val="08974AD7"/>
    <w:rsid w:val="08AA26FF"/>
    <w:rsid w:val="08AA3EF7"/>
    <w:rsid w:val="08AB3780"/>
    <w:rsid w:val="08DE2416"/>
    <w:rsid w:val="08EC4DB9"/>
    <w:rsid w:val="08F33BE8"/>
    <w:rsid w:val="091B50BA"/>
    <w:rsid w:val="09662E56"/>
    <w:rsid w:val="09685C55"/>
    <w:rsid w:val="096E34B0"/>
    <w:rsid w:val="09953139"/>
    <w:rsid w:val="09D13ABF"/>
    <w:rsid w:val="09E11F16"/>
    <w:rsid w:val="0A047B3E"/>
    <w:rsid w:val="0A351CEF"/>
    <w:rsid w:val="0A376299"/>
    <w:rsid w:val="0A39193C"/>
    <w:rsid w:val="0A5939BD"/>
    <w:rsid w:val="0AAD201C"/>
    <w:rsid w:val="0ABF62E4"/>
    <w:rsid w:val="0B9161E5"/>
    <w:rsid w:val="0B9854B0"/>
    <w:rsid w:val="0BF307B1"/>
    <w:rsid w:val="0C335952"/>
    <w:rsid w:val="0C572B0E"/>
    <w:rsid w:val="0C98504D"/>
    <w:rsid w:val="0CAC4E19"/>
    <w:rsid w:val="0CD5634C"/>
    <w:rsid w:val="0D225F51"/>
    <w:rsid w:val="0D831B6D"/>
    <w:rsid w:val="0D89272A"/>
    <w:rsid w:val="0DB34A87"/>
    <w:rsid w:val="0DE00CC4"/>
    <w:rsid w:val="0DE35839"/>
    <w:rsid w:val="0E17248E"/>
    <w:rsid w:val="0E1A5BF9"/>
    <w:rsid w:val="0E3F3320"/>
    <w:rsid w:val="0E5E35E5"/>
    <w:rsid w:val="0E741C25"/>
    <w:rsid w:val="0E830BC8"/>
    <w:rsid w:val="0EBC6F8F"/>
    <w:rsid w:val="0ED03F4D"/>
    <w:rsid w:val="0EDF0C42"/>
    <w:rsid w:val="0EE336CA"/>
    <w:rsid w:val="0EE96FA9"/>
    <w:rsid w:val="0EF22955"/>
    <w:rsid w:val="0F0B6882"/>
    <w:rsid w:val="0F2D01FF"/>
    <w:rsid w:val="0F7F125E"/>
    <w:rsid w:val="0F924692"/>
    <w:rsid w:val="0FED59EA"/>
    <w:rsid w:val="0FF2192E"/>
    <w:rsid w:val="103D3A72"/>
    <w:rsid w:val="107A7C85"/>
    <w:rsid w:val="10A4002B"/>
    <w:rsid w:val="10C54BD2"/>
    <w:rsid w:val="10D67D3E"/>
    <w:rsid w:val="10E44BA3"/>
    <w:rsid w:val="10EA5B2A"/>
    <w:rsid w:val="10F82EA1"/>
    <w:rsid w:val="11014072"/>
    <w:rsid w:val="11220330"/>
    <w:rsid w:val="1138246F"/>
    <w:rsid w:val="113E4CC5"/>
    <w:rsid w:val="11947A8F"/>
    <w:rsid w:val="11C01CD5"/>
    <w:rsid w:val="122E46A4"/>
    <w:rsid w:val="12350F7E"/>
    <w:rsid w:val="12470380"/>
    <w:rsid w:val="12714363"/>
    <w:rsid w:val="12A47A17"/>
    <w:rsid w:val="12D94FD9"/>
    <w:rsid w:val="12E50DFA"/>
    <w:rsid w:val="13183A14"/>
    <w:rsid w:val="13572EB8"/>
    <w:rsid w:val="138530A7"/>
    <w:rsid w:val="13A97E7F"/>
    <w:rsid w:val="13AF3E4C"/>
    <w:rsid w:val="13BD6590"/>
    <w:rsid w:val="13FB127B"/>
    <w:rsid w:val="13FD5C8B"/>
    <w:rsid w:val="14011197"/>
    <w:rsid w:val="140C033D"/>
    <w:rsid w:val="140F47C1"/>
    <w:rsid w:val="14126B5B"/>
    <w:rsid w:val="142B7F16"/>
    <w:rsid w:val="148C25FE"/>
    <w:rsid w:val="152904D9"/>
    <w:rsid w:val="15432593"/>
    <w:rsid w:val="15757C7F"/>
    <w:rsid w:val="15800876"/>
    <w:rsid w:val="15864D32"/>
    <w:rsid w:val="15903984"/>
    <w:rsid w:val="15B634A3"/>
    <w:rsid w:val="15C9457A"/>
    <w:rsid w:val="15D4551A"/>
    <w:rsid w:val="15E07012"/>
    <w:rsid w:val="164E163A"/>
    <w:rsid w:val="165322A4"/>
    <w:rsid w:val="16555810"/>
    <w:rsid w:val="165E61EB"/>
    <w:rsid w:val="169A0CE2"/>
    <w:rsid w:val="16C554F1"/>
    <w:rsid w:val="173A778A"/>
    <w:rsid w:val="178B5910"/>
    <w:rsid w:val="17B66224"/>
    <w:rsid w:val="17FB73DA"/>
    <w:rsid w:val="183160A6"/>
    <w:rsid w:val="18320839"/>
    <w:rsid w:val="18433CC3"/>
    <w:rsid w:val="18512D64"/>
    <w:rsid w:val="18D7088C"/>
    <w:rsid w:val="18EB2D04"/>
    <w:rsid w:val="18F4078B"/>
    <w:rsid w:val="18FE22E8"/>
    <w:rsid w:val="1906752A"/>
    <w:rsid w:val="192E2C71"/>
    <w:rsid w:val="194D319A"/>
    <w:rsid w:val="19CA0F24"/>
    <w:rsid w:val="19FC5364"/>
    <w:rsid w:val="1A00744A"/>
    <w:rsid w:val="1A076BC5"/>
    <w:rsid w:val="1A50145F"/>
    <w:rsid w:val="1A593079"/>
    <w:rsid w:val="1A76628E"/>
    <w:rsid w:val="1A9E7EA9"/>
    <w:rsid w:val="1ACD3AD5"/>
    <w:rsid w:val="1B00542E"/>
    <w:rsid w:val="1B69436E"/>
    <w:rsid w:val="1BC256B5"/>
    <w:rsid w:val="1BC338E2"/>
    <w:rsid w:val="1BE461DA"/>
    <w:rsid w:val="1C316406"/>
    <w:rsid w:val="1C3A5E80"/>
    <w:rsid w:val="1C747A77"/>
    <w:rsid w:val="1C831B53"/>
    <w:rsid w:val="1CE36F46"/>
    <w:rsid w:val="1CEE5315"/>
    <w:rsid w:val="1D3F5138"/>
    <w:rsid w:val="1D43286A"/>
    <w:rsid w:val="1D4D3325"/>
    <w:rsid w:val="1D6B13F2"/>
    <w:rsid w:val="1E092A84"/>
    <w:rsid w:val="1E0E5266"/>
    <w:rsid w:val="1E166389"/>
    <w:rsid w:val="1E510ECC"/>
    <w:rsid w:val="1E826E40"/>
    <w:rsid w:val="1EA37BEA"/>
    <w:rsid w:val="1F2039B8"/>
    <w:rsid w:val="1F3D4A16"/>
    <w:rsid w:val="1F437E3E"/>
    <w:rsid w:val="1F5C1CB1"/>
    <w:rsid w:val="200E036B"/>
    <w:rsid w:val="20244B4A"/>
    <w:rsid w:val="20572AFF"/>
    <w:rsid w:val="207E71D8"/>
    <w:rsid w:val="209A1225"/>
    <w:rsid w:val="20DA5A63"/>
    <w:rsid w:val="211211EE"/>
    <w:rsid w:val="21280F6B"/>
    <w:rsid w:val="217A5ABE"/>
    <w:rsid w:val="218C71CE"/>
    <w:rsid w:val="21C400A5"/>
    <w:rsid w:val="21C86655"/>
    <w:rsid w:val="21FC098F"/>
    <w:rsid w:val="220A430A"/>
    <w:rsid w:val="22645910"/>
    <w:rsid w:val="22932EFB"/>
    <w:rsid w:val="229C78F2"/>
    <w:rsid w:val="230C273D"/>
    <w:rsid w:val="233B0331"/>
    <w:rsid w:val="2362243E"/>
    <w:rsid w:val="23BA05F7"/>
    <w:rsid w:val="23BC4F39"/>
    <w:rsid w:val="23CE2575"/>
    <w:rsid w:val="23DF13DF"/>
    <w:rsid w:val="240C1D90"/>
    <w:rsid w:val="24144804"/>
    <w:rsid w:val="24B505FC"/>
    <w:rsid w:val="24DA4B7A"/>
    <w:rsid w:val="25385773"/>
    <w:rsid w:val="25385D54"/>
    <w:rsid w:val="257D0AB2"/>
    <w:rsid w:val="25BD4B85"/>
    <w:rsid w:val="25D216E5"/>
    <w:rsid w:val="25F41764"/>
    <w:rsid w:val="26323FF8"/>
    <w:rsid w:val="263B066E"/>
    <w:rsid w:val="26421856"/>
    <w:rsid w:val="264F6681"/>
    <w:rsid w:val="26591496"/>
    <w:rsid w:val="2660728B"/>
    <w:rsid w:val="2661028B"/>
    <w:rsid w:val="266A40B8"/>
    <w:rsid w:val="26AC64C2"/>
    <w:rsid w:val="276224B4"/>
    <w:rsid w:val="27714B17"/>
    <w:rsid w:val="27B37802"/>
    <w:rsid w:val="27BE050C"/>
    <w:rsid w:val="27C76509"/>
    <w:rsid w:val="27C80D36"/>
    <w:rsid w:val="28020099"/>
    <w:rsid w:val="28096E54"/>
    <w:rsid w:val="282768D7"/>
    <w:rsid w:val="28A943DF"/>
    <w:rsid w:val="28DC059F"/>
    <w:rsid w:val="28EA2D58"/>
    <w:rsid w:val="29B758BA"/>
    <w:rsid w:val="29D26A74"/>
    <w:rsid w:val="2A0A6599"/>
    <w:rsid w:val="2A11602C"/>
    <w:rsid w:val="2A1C47DF"/>
    <w:rsid w:val="2A212850"/>
    <w:rsid w:val="2A3B31FA"/>
    <w:rsid w:val="2A753101"/>
    <w:rsid w:val="2AD22E2C"/>
    <w:rsid w:val="2AD96EB0"/>
    <w:rsid w:val="2B762F4B"/>
    <w:rsid w:val="2B80231C"/>
    <w:rsid w:val="2C425AC8"/>
    <w:rsid w:val="2C7669B9"/>
    <w:rsid w:val="2C89295F"/>
    <w:rsid w:val="2CA92443"/>
    <w:rsid w:val="2CAB1132"/>
    <w:rsid w:val="2CCB250B"/>
    <w:rsid w:val="2D261309"/>
    <w:rsid w:val="2D2B0B03"/>
    <w:rsid w:val="2D3C73A5"/>
    <w:rsid w:val="2D7F6F21"/>
    <w:rsid w:val="2DAC5593"/>
    <w:rsid w:val="2DF015BF"/>
    <w:rsid w:val="2E1C3B55"/>
    <w:rsid w:val="2E244B92"/>
    <w:rsid w:val="2E301A69"/>
    <w:rsid w:val="2E7B11D7"/>
    <w:rsid w:val="2ED11E06"/>
    <w:rsid w:val="2EDF365D"/>
    <w:rsid w:val="2F080792"/>
    <w:rsid w:val="2F250BC9"/>
    <w:rsid w:val="2F4B30E7"/>
    <w:rsid w:val="2FA03052"/>
    <w:rsid w:val="2FA56D8C"/>
    <w:rsid w:val="2FAB4398"/>
    <w:rsid w:val="303368A2"/>
    <w:rsid w:val="308B2230"/>
    <w:rsid w:val="30A73838"/>
    <w:rsid w:val="30CF4562"/>
    <w:rsid w:val="31165308"/>
    <w:rsid w:val="31180CEF"/>
    <w:rsid w:val="31B26551"/>
    <w:rsid w:val="32384BB9"/>
    <w:rsid w:val="324F7A0F"/>
    <w:rsid w:val="325858A3"/>
    <w:rsid w:val="32664234"/>
    <w:rsid w:val="32E148A9"/>
    <w:rsid w:val="330B60FD"/>
    <w:rsid w:val="332930C0"/>
    <w:rsid w:val="33304821"/>
    <w:rsid w:val="336D22D8"/>
    <w:rsid w:val="33711277"/>
    <w:rsid w:val="337A4A67"/>
    <w:rsid w:val="33BA41AE"/>
    <w:rsid w:val="340659C1"/>
    <w:rsid w:val="344909E5"/>
    <w:rsid w:val="344D23D9"/>
    <w:rsid w:val="34691D0C"/>
    <w:rsid w:val="34C07E0F"/>
    <w:rsid w:val="34D412E2"/>
    <w:rsid w:val="35690796"/>
    <w:rsid w:val="358B4CBA"/>
    <w:rsid w:val="358C63E5"/>
    <w:rsid w:val="35B63143"/>
    <w:rsid w:val="35DE1EDD"/>
    <w:rsid w:val="362B5C34"/>
    <w:rsid w:val="36567DED"/>
    <w:rsid w:val="36BC3900"/>
    <w:rsid w:val="36EA0478"/>
    <w:rsid w:val="37326625"/>
    <w:rsid w:val="374E626B"/>
    <w:rsid w:val="38135C21"/>
    <w:rsid w:val="382F3E55"/>
    <w:rsid w:val="38356D0D"/>
    <w:rsid w:val="386B5D1F"/>
    <w:rsid w:val="38B3345E"/>
    <w:rsid w:val="38C6435B"/>
    <w:rsid w:val="38D019A4"/>
    <w:rsid w:val="38E6060D"/>
    <w:rsid w:val="38E92360"/>
    <w:rsid w:val="395A14B1"/>
    <w:rsid w:val="395C264D"/>
    <w:rsid w:val="397F5DBA"/>
    <w:rsid w:val="39912668"/>
    <w:rsid w:val="39C810D0"/>
    <w:rsid w:val="39CE1C6B"/>
    <w:rsid w:val="3A080CAA"/>
    <w:rsid w:val="3A4211CB"/>
    <w:rsid w:val="3A5C05E2"/>
    <w:rsid w:val="3A650470"/>
    <w:rsid w:val="3A724CB6"/>
    <w:rsid w:val="3A837E92"/>
    <w:rsid w:val="3AB5664B"/>
    <w:rsid w:val="3B1E24F0"/>
    <w:rsid w:val="3B201CE4"/>
    <w:rsid w:val="3BB52518"/>
    <w:rsid w:val="3BD27691"/>
    <w:rsid w:val="3BE2129B"/>
    <w:rsid w:val="3C020190"/>
    <w:rsid w:val="3C355916"/>
    <w:rsid w:val="3C7700BB"/>
    <w:rsid w:val="3CB31CB8"/>
    <w:rsid w:val="3CC92302"/>
    <w:rsid w:val="3CEF02BC"/>
    <w:rsid w:val="3D1B2FA5"/>
    <w:rsid w:val="3D2110F1"/>
    <w:rsid w:val="3D356DE3"/>
    <w:rsid w:val="3D69134E"/>
    <w:rsid w:val="3D941C30"/>
    <w:rsid w:val="3D974467"/>
    <w:rsid w:val="3DA019FE"/>
    <w:rsid w:val="3DDE5E63"/>
    <w:rsid w:val="3E2F3294"/>
    <w:rsid w:val="3EA4797A"/>
    <w:rsid w:val="3EAF052F"/>
    <w:rsid w:val="3ED966B8"/>
    <w:rsid w:val="3EED7FFD"/>
    <w:rsid w:val="3F285D3C"/>
    <w:rsid w:val="3F821A48"/>
    <w:rsid w:val="3F8B6F93"/>
    <w:rsid w:val="3F962587"/>
    <w:rsid w:val="3FEE48C6"/>
    <w:rsid w:val="401F6711"/>
    <w:rsid w:val="40411020"/>
    <w:rsid w:val="404130DF"/>
    <w:rsid w:val="40A8411D"/>
    <w:rsid w:val="40BD754B"/>
    <w:rsid w:val="414004A4"/>
    <w:rsid w:val="4148584B"/>
    <w:rsid w:val="4155331F"/>
    <w:rsid w:val="416042BB"/>
    <w:rsid w:val="41B35388"/>
    <w:rsid w:val="41EB004D"/>
    <w:rsid w:val="41F9001C"/>
    <w:rsid w:val="42685541"/>
    <w:rsid w:val="426F4A5F"/>
    <w:rsid w:val="428908A0"/>
    <w:rsid w:val="42BB433F"/>
    <w:rsid w:val="42D85DB7"/>
    <w:rsid w:val="42E3420D"/>
    <w:rsid w:val="43922D92"/>
    <w:rsid w:val="43B51CA1"/>
    <w:rsid w:val="43B55EC5"/>
    <w:rsid w:val="43CB4BD3"/>
    <w:rsid w:val="44086991"/>
    <w:rsid w:val="44394309"/>
    <w:rsid w:val="44413354"/>
    <w:rsid w:val="44423E57"/>
    <w:rsid w:val="44511364"/>
    <w:rsid w:val="44616B88"/>
    <w:rsid w:val="44735531"/>
    <w:rsid w:val="44974562"/>
    <w:rsid w:val="44C70D28"/>
    <w:rsid w:val="44DD1435"/>
    <w:rsid w:val="454C4253"/>
    <w:rsid w:val="455A3AA4"/>
    <w:rsid w:val="45694F1A"/>
    <w:rsid w:val="4575762E"/>
    <w:rsid w:val="458E6E21"/>
    <w:rsid w:val="45B618C7"/>
    <w:rsid w:val="45CA2B79"/>
    <w:rsid w:val="46137CFC"/>
    <w:rsid w:val="4631154C"/>
    <w:rsid w:val="46543594"/>
    <w:rsid w:val="468F1E47"/>
    <w:rsid w:val="469626CC"/>
    <w:rsid w:val="46B54714"/>
    <w:rsid w:val="46CA3D8F"/>
    <w:rsid w:val="46CC0AE6"/>
    <w:rsid w:val="46E82964"/>
    <w:rsid w:val="46EE5C2C"/>
    <w:rsid w:val="46F97FB6"/>
    <w:rsid w:val="47037A18"/>
    <w:rsid w:val="475E2CBA"/>
    <w:rsid w:val="478140BA"/>
    <w:rsid w:val="47AD4DB0"/>
    <w:rsid w:val="47B428E8"/>
    <w:rsid w:val="482218B0"/>
    <w:rsid w:val="483F5051"/>
    <w:rsid w:val="486C144B"/>
    <w:rsid w:val="487F0F0A"/>
    <w:rsid w:val="48AF7F9D"/>
    <w:rsid w:val="48D47BC2"/>
    <w:rsid w:val="48EA76B0"/>
    <w:rsid w:val="494E17F4"/>
    <w:rsid w:val="497C5E18"/>
    <w:rsid w:val="49815A51"/>
    <w:rsid w:val="498E7B60"/>
    <w:rsid w:val="499978B3"/>
    <w:rsid w:val="49A76F72"/>
    <w:rsid w:val="49B43FF2"/>
    <w:rsid w:val="49E37D4C"/>
    <w:rsid w:val="49ED54E3"/>
    <w:rsid w:val="4A8C1415"/>
    <w:rsid w:val="4AA71A88"/>
    <w:rsid w:val="4AD6006B"/>
    <w:rsid w:val="4AEC5188"/>
    <w:rsid w:val="4AFC16B3"/>
    <w:rsid w:val="4B333263"/>
    <w:rsid w:val="4B392D33"/>
    <w:rsid w:val="4B5C62F5"/>
    <w:rsid w:val="4BA41765"/>
    <w:rsid w:val="4BB5717A"/>
    <w:rsid w:val="4BCC1B11"/>
    <w:rsid w:val="4BE2135B"/>
    <w:rsid w:val="4BF50EA7"/>
    <w:rsid w:val="4C287C95"/>
    <w:rsid w:val="4C5A1AB1"/>
    <w:rsid w:val="4C90442A"/>
    <w:rsid w:val="4D00374B"/>
    <w:rsid w:val="4D035F1E"/>
    <w:rsid w:val="4D740658"/>
    <w:rsid w:val="4D915DDC"/>
    <w:rsid w:val="4E003FDF"/>
    <w:rsid w:val="4E3726F0"/>
    <w:rsid w:val="4E7B669D"/>
    <w:rsid w:val="4E8805E2"/>
    <w:rsid w:val="4ED103BA"/>
    <w:rsid w:val="4ED8129E"/>
    <w:rsid w:val="4EEB5D5A"/>
    <w:rsid w:val="4F627292"/>
    <w:rsid w:val="4F93218E"/>
    <w:rsid w:val="4FEC2ED4"/>
    <w:rsid w:val="4FF51092"/>
    <w:rsid w:val="501F5F82"/>
    <w:rsid w:val="504D1837"/>
    <w:rsid w:val="50530ED7"/>
    <w:rsid w:val="50B458C0"/>
    <w:rsid w:val="50E35899"/>
    <w:rsid w:val="513A4172"/>
    <w:rsid w:val="513B734F"/>
    <w:rsid w:val="5165503A"/>
    <w:rsid w:val="5174207F"/>
    <w:rsid w:val="5187057B"/>
    <w:rsid w:val="51D242ED"/>
    <w:rsid w:val="51D952A7"/>
    <w:rsid w:val="51F000CD"/>
    <w:rsid w:val="522366DE"/>
    <w:rsid w:val="52303722"/>
    <w:rsid w:val="528564ED"/>
    <w:rsid w:val="52B65977"/>
    <w:rsid w:val="52F70701"/>
    <w:rsid w:val="53320703"/>
    <w:rsid w:val="533656B4"/>
    <w:rsid w:val="533C4597"/>
    <w:rsid w:val="53474500"/>
    <w:rsid w:val="538E3A45"/>
    <w:rsid w:val="53B179CA"/>
    <w:rsid w:val="53F114BC"/>
    <w:rsid w:val="54C95AD3"/>
    <w:rsid w:val="54D82143"/>
    <w:rsid w:val="55274288"/>
    <w:rsid w:val="552D4396"/>
    <w:rsid w:val="55F55937"/>
    <w:rsid w:val="561D76E9"/>
    <w:rsid w:val="565B586A"/>
    <w:rsid w:val="56AB3676"/>
    <w:rsid w:val="56AF2314"/>
    <w:rsid w:val="56B9541F"/>
    <w:rsid w:val="56FF73AA"/>
    <w:rsid w:val="571F2E51"/>
    <w:rsid w:val="574B47CF"/>
    <w:rsid w:val="57661B56"/>
    <w:rsid w:val="57785731"/>
    <w:rsid w:val="57877053"/>
    <w:rsid w:val="57D15132"/>
    <w:rsid w:val="582341BE"/>
    <w:rsid w:val="58510899"/>
    <w:rsid w:val="586442ED"/>
    <w:rsid w:val="5867064C"/>
    <w:rsid w:val="5872548C"/>
    <w:rsid w:val="587C1C35"/>
    <w:rsid w:val="58EA6A1B"/>
    <w:rsid w:val="592B4AAC"/>
    <w:rsid w:val="59566DAA"/>
    <w:rsid w:val="59941DD1"/>
    <w:rsid w:val="59B755D4"/>
    <w:rsid w:val="59D33E0A"/>
    <w:rsid w:val="5A141E5B"/>
    <w:rsid w:val="5AB81ECA"/>
    <w:rsid w:val="5B0071ED"/>
    <w:rsid w:val="5B34270E"/>
    <w:rsid w:val="5B7454F8"/>
    <w:rsid w:val="5B7A2602"/>
    <w:rsid w:val="5BD33963"/>
    <w:rsid w:val="5BF45AE6"/>
    <w:rsid w:val="5C2006D5"/>
    <w:rsid w:val="5C456B2F"/>
    <w:rsid w:val="5C7F30EE"/>
    <w:rsid w:val="5C9875DC"/>
    <w:rsid w:val="5CA54B3A"/>
    <w:rsid w:val="5CDF4ED0"/>
    <w:rsid w:val="5D7415AC"/>
    <w:rsid w:val="5D7D6D2A"/>
    <w:rsid w:val="5DB41E6D"/>
    <w:rsid w:val="5DB65BD3"/>
    <w:rsid w:val="5DD7525E"/>
    <w:rsid w:val="5DE92E89"/>
    <w:rsid w:val="5DEC0919"/>
    <w:rsid w:val="5E1536C2"/>
    <w:rsid w:val="5E27090A"/>
    <w:rsid w:val="5E371203"/>
    <w:rsid w:val="5E5F0582"/>
    <w:rsid w:val="5E6B178A"/>
    <w:rsid w:val="5E7722A1"/>
    <w:rsid w:val="5F366503"/>
    <w:rsid w:val="5F481422"/>
    <w:rsid w:val="5F601C96"/>
    <w:rsid w:val="5FB21BBB"/>
    <w:rsid w:val="5FC16C8E"/>
    <w:rsid w:val="5FF2072A"/>
    <w:rsid w:val="60F5641A"/>
    <w:rsid w:val="60F75B2B"/>
    <w:rsid w:val="61050DAE"/>
    <w:rsid w:val="612A29A8"/>
    <w:rsid w:val="618101E3"/>
    <w:rsid w:val="61B71493"/>
    <w:rsid w:val="61D76392"/>
    <w:rsid w:val="61F40326"/>
    <w:rsid w:val="61FF46C7"/>
    <w:rsid w:val="6223625E"/>
    <w:rsid w:val="62736C73"/>
    <w:rsid w:val="63063093"/>
    <w:rsid w:val="63067094"/>
    <w:rsid w:val="634A1480"/>
    <w:rsid w:val="639A4E48"/>
    <w:rsid w:val="63C511FD"/>
    <w:rsid w:val="640F6E8D"/>
    <w:rsid w:val="641F20E4"/>
    <w:rsid w:val="642F768E"/>
    <w:rsid w:val="64465D61"/>
    <w:rsid w:val="644E3BF2"/>
    <w:rsid w:val="64565585"/>
    <w:rsid w:val="64A61FBD"/>
    <w:rsid w:val="65066A26"/>
    <w:rsid w:val="655110E4"/>
    <w:rsid w:val="65712D1D"/>
    <w:rsid w:val="657D7505"/>
    <w:rsid w:val="65862315"/>
    <w:rsid w:val="6596320D"/>
    <w:rsid w:val="65DD1C34"/>
    <w:rsid w:val="660136AC"/>
    <w:rsid w:val="662B61E7"/>
    <w:rsid w:val="66355A97"/>
    <w:rsid w:val="6648413E"/>
    <w:rsid w:val="66830DD7"/>
    <w:rsid w:val="66976C88"/>
    <w:rsid w:val="66A72F5C"/>
    <w:rsid w:val="66DE2AE2"/>
    <w:rsid w:val="66F43D4A"/>
    <w:rsid w:val="672F2221"/>
    <w:rsid w:val="673B5505"/>
    <w:rsid w:val="677A19D6"/>
    <w:rsid w:val="679A47DF"/>
    <w:rsid w:val="679B75D8"/>
    <w:rsid w:val="67AE61CE"/>
    <w:rsid w:val="67B01578"/>
    <w:rsid w:val="67DD267B"/>
    <w:rsid w:val="67DE04F8"/>
    <w:rsid w:val="68034430"/>
    <w:rsid w:val="682751C7"/>
    <w:rsid w:val="682804D1"/>
    <w:rsid w:val="684319FE"/>
    <w:rsid w:val="686C5A72"/>
    <w:rsid w:val="689317AF"/>
    <w:rsid w:val="68A054C2"/>
    <w:rsid w:val="68C36E69"/>
    <w:rsid w:val="68F2196E"/>
    <w:rsid w:val="69092152"/>
    <w:rsid w:val="69235319"/>
    <w:rsid w:val="692F7CD3"/>
    <w:rsid w:val="696C0E6E"/>
    <w:rsid w:val="69797C2C"/>
    <w:rsid w:val="69C207FF"/>
    <w:rsid w:val="69E505FB"/>
    <w:rsid w:val="6A017422"/>
    <w:rsid w:val="6A151613"/>
    <w:rsid w:val="6A405150"/>
    <w:rsid w:val="6A4D70E8"/>
    <w:rsid w:val="6A841564"/>
    <w:rsid w:val="6AA11E2F"/>
    <w:rsid w:val="6AE4786A"/>
    <w:rsid w:val="6B35124A"/>
    <w:rsid w:val="6BBD024B"/>
    <w:rsid w:val="6C1855F5"/>
    <w:rsid w:val="6CE64206"/>
    <w:rsid w:val="6CFC2A23"/>
    <w:rsid w:val="6D2964BF"/>
    <w:rsid w:val="6D304E75"/>
    <w:rsid w:val="6D3F18FA"/>
    <w:rsid w:val="6D9C1FDB"/>
    <w:rsid w:val="6DAA7BCC"/>
    <w:rsid w:val="6DC96B71"/>
    <w:rsid w:val="6DE41221"/>
    <w:rsid w:val="6DE91AC4"/>
    <w:rsid w:val="6DED08F1"/>
    <w:rsid w:val="6DFF137D"/>
    <w:rsid w:val="6E2C0D10"/>
    <w:rsid w:val="6E8B6899"/>
    <w:rsid w:val="6EB45CF1"/>
    <w:rsid w:val="6FC3038A"/>
    <w:rsid w:val="6FFF274E"/>
    <w:rsid w:val="700249D6"/>
    <w:rsid w:val="702F3BC8"/>
    <w:rsid w:val="705A1486"/>
    <w:rsid w:val="70B37ABB"/>
    <w:rsid w:val="70C66FF2"/>
    <w:rsid w:val="7117283F"/>
    <w:rsid w:val="718D4E81"/>
    <w:rsid w:val="71A060CE"/>
    <w:rsid w:val="71D600B8"/>
    <w:rsid w:val="71D814F4"/>
    <w:rsid w:val="71E944C1"/>
    <w:rsid w:val="72110AF2"/>
    <w:rsid w:val="725F0E6C"/>
    <w:rsid w:val="728609DA"/>
    <w:rsid w:val="72CC7204"/>
    <w:rsid w:val="733E2147"/>
    <w:rsid w:val="73810772"/>
    <w:rsid w:val="73D858E3"/>
    <w:rsid w:val="746832D8"/>
    <w:rsid w:val="74C909B9"/>
    <w:rsid w:val="74CD7E50"/>
    <w:rsid w:val="74D859B7"/>
    <w:rsid w:val="752D02A7"/>
    <w:rsid w:val="754E4EA0"/>
    <w:rsid w:val="75F03395"/>
    <w:rsid w:val="7665019A"/>
    <w:rsid w:val="76D24558"/>
    <w:rsid w:val="76ED2555"/>
    <w:rsid w:val="771C7C27"/>
    <w:rsid w:val="77877B9F"/>
    <w:rsid w:val="779608B1"/>
    <w:rsid w:val="779A3C5D"/>
    <w:rsid w:val="781C6C86"/>
    <w:rsid w:val="78BB4363"/>
    <w:rsid w:val="78BF17F9"/>
    <w:rsid w:val="793A35B7"/>
    <w:rsid w:val="798F77BA"/>
    <w:rsid w:val="79975B28"/>
    <w:rsid w:val="79C46978"/>
    <w:rsid w:val="79F56560"/>
    <w:rsid w:val="7A1E103E"/>
    <w:rsid w:val="7A8F7EEB"/>
    <w:rsid w:val="7AA717B8"/>
    <w:rsid w:val="7AA84538"/>
    <w:rsid w:val="7AA977C9"/>
    <w:rsid w:val="7AB20EC8"/>
    <w:rsid w:val="7AF564B2"/>
    <w:rsid w:val="7B0B6FF2"/>
    <w:rsid w:val="7B8F138F"/>
    <w:rsid w:val="7B90320C"/>
    <w:rsid w:val="7BF26939"/>
    <w:rsid w:val="7BF30583"/>
    <w:rsid w:val="7C122CFA"/>
    <w:rsid w:val="7C1E1273"/>
    <w:rsid w:val="7C252D29"/>
    <w:rsid w:val="7C3640D5"/>
    <w:rsid w:val="7CA7043C"/>
    <w:rsid w:val="7CEA3653"/>
    <w:rsid w:val="7CF96557"/>
    <w:rsid w:val="7D2E0078"/>
    <w:rsid w:val="7D4A1ACE"/>
    <w:rsid w:val="7D94273B"/>
    <w:rsid w:val="7E260F64"/>
    <w:rsid w:val="7E4931D1"/>
    <w:rsid w:val="7E4B6A01"/>
    <w:rsid w:val="7E4C5A9B"/>
    <w:rsid w:val="7E4F3323"/>
    <w:rsid w:val="7E6C7DD0"/>
    <w:rsid w:val="7EBA2FDE"/>
    <w:rsid w:val="7EEA09C0"/>
    <w:rsid w:val="7EFD7FC8"/>
    <w:rsid w:val="7F457BF6"/>
    <w:rsid w:val="7F716E8A"/>
    <w:rsid w:val="7F7E3A93"/>
    <w:rsid w:val="7F93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17C0D5-8045-4C2B-AB20-55E72BB49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ListParagraph2">
    <w:name w:val="List Paragraph2"/>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99"/>
    <w:unhideWhenUsed/>
    <w:qFormat/>
    <w:pPr>
      <w:ind w:left="720"/>
      <w:contextualSpacing/>
    </w:p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70512A-58A8-4A87-A3B5-D596787B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2019-10-03T22:32:00Z</dcterms:created>
  <dcterms:modified xsi:type="dcterms:W3CDTF">2019-10-03T22:49:00Z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